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50" w:type="dxa"/>
        <w:tblCellMar>
          <w:left w:w="0" w:type="dxa"/>
          <w:right w:w="0" w:type="dxa"/>
        </w:tblCellMar>
        <w:tblLook w:val="04A0"/>
      </w:tblPr>
      <w:tblGrid>
        <w:gridCol w:w="3450"/>
      </w:tblGrid>
      <w:tr w:rsidR="00E14231" w:rsidRPr="00E14231" w:rsidTr="00E1423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31" w:rsidRPr="00E14231" w:rsidRDefault="00E14231" w:rsidP="002831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приказу</w:t>
      </w:r>
    </w:p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Отдела образования и делам молодежи</w:t>
      </w:r>
    </w:p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Пучежского</w:t>
      </w:r>
    </w:p>
    <w:p w:rsidR="00124A01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F5FE8" w:rsidRPr="0028312F" w:rsidRDefault="004367F0" w:rsidP="004367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9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041657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 </w:t>
      </w:r>
      <w:r w:rsidR="00783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119</w:t>
      </w:r>
      <w:r w:rsidR="00756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7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 </w:t>
      </w:r>
      <w:r w:rsidR="005C7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13.09.2019г.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E14231" w:rsidRPr="00E14231" w:rsidRDefault="00E14231" w:rsidP="0028312F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Л О Ж Е Н И Е</w:t>
      </w:r>
    </w:p>
    <w:p w:rsidR="00E14231" w:rsidRPr="00E14231" w:rsidRDefault="00E14231" w:rsidP="0028312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конкурсе методических разработок</w:t>
      </w:r>
    </w:p>
    <w:p w:rsidR="00E14231" w:rsidRPr="00E14231" w:rsidRDefault="00E14231" w:rsidP="0028312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«Работаем по ФГОС ДО: методы успеха</w:t>
      </w:r>
      <w:r w:rsidR="00E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14231" w:rsidRPr="00E14231" w:rsidRDefault="00E14231" w:rsidP="0028312F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4231" w:rsidRPr="00E14231" w:rsidRDefault="0028312F" w:rsidP="0028312F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E14231"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E14231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задачи, порядок проведения и подведение итогов конкурса методических разработок «Работаем по ФГОС ДО: методы успеха</w:t>
      </w:r>
      <w:r w:rsidR="00E82B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54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12F">
        <w:rPr>
          <w:rFonts w:ascii="Times New Roman" w:hAnsi="Times New Roman" w:cs="Times New Roman"/>
          <w:sz w:val="28"/>
          <w:szCs w:val="28"/>
          <w:lang w:eastAsia="ru-RU"/>
        </w:rPr>
        <w:t>(далее Конкурс)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0A7F" w:rsidRPr="0028312F" w:rsidRDefault="00C00A7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Конкурс проводится Отделом образования и делам молодежи администрации Пучежского муниципального района совместно с информационно-методической службой,   при участии Пучежской районной организации профсоюзов работников образования и науки Ивановской области.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 и задачи конкурса</w:t>
      </w:r>
    </w:p>
    <w:p w:rsidR="00E82B6A" w:rsidRPr="00E82B6A" w:rsidRDefault="00E14231" w:rsidP="00D544EB">
      <w:pPr>
        <w:tabs>
          <w:tab w:val="left" w:pos="567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2.1. Конкурс проводиться </w:t>
      </w:r>
      <w:r w:rsidR="00E82B6A" w:rsidRPr="00E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54EC" w:rsidRPr="00E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обобщения и распространения передового опыта педагогов по организации и проведению современного занятия (непрерывная образовательная деятельность) в дошкольной образовательной организации, </w:t>
      </w:r>
      <w:r w:rsidR="004254EC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комфортных условий для разностороннего развития детей по основным направлениям, указанным в ФГОС </w:t>
      </w:r>
      <w:proofErr w:type="gramStart"/>
      <w:r w:rsidR="004254EC" w:rsidRPr="0028312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25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2.2. Задачи: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распространение инновационного опыта педагогической деятельности, новых педагогических идей, создания комфортных условий для разностороннего развития детей по основным направлениям, указанным в ФГОС ДО – 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физическому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>, коммуникативно-личностному, познавательному, речевому и художественно-эстетическому;</w:t>
      </w:r>
    </w:p>
    <w:p w:rsidR="00E14231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педагогических работников ДОУ;</w:t>
      </w:r>
    </w:p>
    <w:p w:rsidR="004209A2" w:rsidRPr="004209A2" w:rsidRDefault="004209A2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9A2">
        <w:rPr>
          <w:rFonts w:ascii="Times New Roman" w:hAnsi="Times New Roman" w:cs="Times New Roman"/>
          <w:sz w:val="28"/>
          <w:szCs w:val="28"/>
          <w:lang w:eastAsia="ru-RU"/>
        </w:rPr>
        <w:t>выявление  эффективных  методик  по формированию экологической культуры дошкольников;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научно-методического обеспечения </w:t>
      </w:r>
      <w:r w:rsidR="004209A2" w:rsidRPr="004209A2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расширение единого информационно-образовательного пространства на основе методических разработок педагогов</w:t>
      </w:r>
      <w:r w:rsidR="004209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конкурса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педагоги 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дошкольных образовательных учреждений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(без ограничений по стажу педагогической деятельности, возрасту, наличию квалификационной категории).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и сроки проведения конкурса: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4.1. Конкурс проводится с </w:t>
      </w:r>
      <w:r w:rsidR="00AB378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 201</w:t>
      </w:r>
      <w:r w:rsidR="00235E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г. по 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0.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35E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конкурсные работы принимаются до 31.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35E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по изучению конкурсных материалов – с 31.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235E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 по 1</w:t>
      </w:r>
      <w:r w:rsidR="004254E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 201</w:t>
      </w:r>
      <w:r w:rsidR="00235E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конкурса не позднее 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35E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4.2. Для подготовки и проведения конкурса создается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4.3. Конкурс проводится по 5 номинациям: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социально-коммуникативному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Номинация предполагает методические разработки по организации театрализованной, сюжетно – игровой, конструктивной и др. видов деятельности детей, направленные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отзывчивости.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познавательному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  с детьми, направленные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  <w:proofErr w:type="gramEnd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малой родине и Отечестве, представлений о </w:t>
      </w:r>
      <w:proofErr w:type="spellStart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proofErr w:type="gramEnd"/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речевому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  с детьми по обогащению активного словаря; развитию связной, грамматически правильной диалогической и монологической речи, речевого творчества, звуковой и интонационной культуры речи, фонематического слуха; знакомству с книжной культурой, детской литературой, пониманию на слух текстов различных жанров детской литературы; формированию звуковой аналитико-синтетической активности как предпосылки обучения грамоте.</w:t>
      </w:r>
      <w:proofErr w:type="gramEnd"/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художественно-эстетическому развитию».</w:t>
      </w:r>
    </w:p>
    <w:p w:rsidR="00E14231" w:rsidRPr="0028312F" w:rsidRDefault="00E14231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 с детьми, направленные 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реализацию самостоятельной творческой деятельности детей (изобразительной, конструктивно-модельной, музыкальной и др.)</w:t>
      </w:r>
      <w:proofErr w:type="gramEnd"/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физическому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Номинация предполагает методические разработки совместной деятельности с детьми, связанной с выполнением упражнений, направленных на развитие  физических качеств,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правилами.</w:t>
      </w:r>
      <w:proofErr w:type="gramEnd"/>
    </w:p>
    <w:p w:rsidR="00385243" w:rsidRDefault="00385243" w:rsidP="00C00A7F">
      <w:pPr>
        <w:pStyle w:val="a9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0A7F" w:rsidRDefault="00C00A7F" w:rsidP="0028312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41657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5.Требования, предъявляемые к конкурсным работам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5.1. Участник  конкурса должен являться </w:t>
      </w:r>
      <w:r w:rsidRPr="00AB378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автором работы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AB37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Методическая разработка должна отражать профессиональное мастерство и индивидуальность педагога.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5.3. В методической разработке следует раскрыть новые и наиболее эффективные технологии и методы взаимодействия  участников образовательного процесса в соответствии с ФГОС 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5.4. Методическая разработка может представлять собой: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конспект НОД;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сценарии праздников, развлечений, досугов;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сценарий (конспект) мероприятия с родителями (совместный праздник, родительское собрание, мастер-класс, заседание родительского клуба и т.п.)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дидактические пособия (в том числе электронные),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повышающи</w:t>
      </w:r>
      <w:r w:rsidR="008062B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образовательной деятельности;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5.5. Конкурсная работа состоит: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Титульный лист;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 На титульном листе указываются: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вверху по центру –   наименование образовательного учреждения;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по центру – название вида методической разработки, тема, возрастная группа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в правом нижнем углу –  должность, фамилия, имя, отчество автора.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Методическая разработка</w:t>
      </w:r>
      <w:r w:rsidR="008062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(цель, задачи, предметно-развивающая среда, предварительная работа, ход мероприятия, используемая литература, электронные ресурсы)</w:t>
      </w:r>
      <w:proofErr w:type="gramEnd"/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Приложения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 с предполагаемыми презентациями, образцы демонстрационного и раздаточного материала, схемы, таблицы и т.п.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5.6. Технические требования к методической разработке.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Предоставляемые на конкурс работы оформляются в формате редактора Word,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формат А-4,  поля (верхнее, нижнее) – 2,0 см, левое – 3,0 см, правое – 1,5 см, шрифт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>, размер 14, межстрочный интервал –  одинарный, выравнивание по ширине,  красная строка 1,25 см.</w:t>
      </w:r>
    </w:p>
    <w:p w:rsidR="00041657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В текстах не допускаются сокращения названий и наименований, все страницы нумеруются (нумерация начинается с титульного листа, номер на первой странице не ставится), в колонтитуле на каждой странице указываются фамилия, имя и отчество автора.</w:t>
      </w:r>
    </w:p>
    <w:p w:rsidR="00E14231" w:rsidRPr="004367F0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67F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</w:t>
      </w:r>
      <w:proofErr w:type="gramEnd"/>
      <w:r w:rsidRPr="004367F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конкурсных работ:</w:t>
      </w:r>
    </w:p>
    <w:tbl>
      <w:tblPr>
        <w:tblStyle w:val="aa"/>
        <w:tblW w:w="5301" w:type="pct"/>
        <w:tblLook w:val="04A0"/>
      </w:tblPr>
      <w:tblGrid>
        <w:gridCol w:w="1035"/>
        <w:gridCol w:w="3482"/>
        <w:gridCol w:w="5630"/>
      </w:tblGrid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оригинальности и новизны методики (технологии) мероприятия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proofErr w:type="spellStart"/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системно-деятельностному</w:t>
            </w:r>
            <w:proofErr w:type="spellEnd"/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подходу в образовании (используются разнообразные формы, методы и приемы, повышающие степень активности детей в образовательном процессе, происходит неоднократная смена видов деятельности, представлены цели, содержание, приемы, методы и формы деятельности, взаимодействие детей и воспитателя, средства обучения, организация рефлексии, итоги занятия и способы его оценки, показана взаимосвязь этих компонентов).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4231" w:rsidRPr="003712DE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6" w:type="pct"/>
            <w:hideMark/>
          </w:tcPr>
          <w:p w:rsidR="00E14231" w:rsidRPr="003712DE" w:rsidRDefault="00E14231" w:rsidP="008723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Целесообразность применения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современных технологий, ориентированных на требования новых образовательных стандартов</w:t>
            </w:r>
          </w:p>
        </w:tc>
        <w:tc>
          <w:tcPr>
            <w:tcW w:w="2774" w:type="pct"/>
            <w:hideMark/>
          </w:tcPr>
          <w:p w:rsidR="00E14231" w:rsidRPr="003712DE" w:rsidRDefault="00E14231" w:rsidP="008723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Конкурсный материал должен демонстрировать владение современными технологиями, ориентированными на требования новых образовательных стандартов, из содержания конкурсного материала должно быть понятно, почему для реализации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целей организованной образовательной деятельности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использование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данных технологий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методов и приёмов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Грамотное и эргономичное оформление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конкурса оформлены в соответствии с требованиями конкурса, в работе отсутствуют орфографические ошибки, соблюдается качество технического исполнения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Оригинальность, новизна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содержат авторские идеи, инновационность подхода к их решению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Воспроизводимость</w:t>
            </w:r>
            <w:proofErr w:type="spellEnd"/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(технологичность)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Возможность использования в других образовательных учреждениях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авторских прав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Корректность в использовании авторских материалов, наличие списка используемых ресурсов.</w:t>
            </w:r>
          </w:p>
        </w:tc>
      </w:tr>
      <w:tr w:rsidR="00041657" w:rsidRPr="0028312F" w:rsidTr="00385243">
        <w:tc>
          <w:tcPr>
            <w:tcW w:w="510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Подведение итогов конкурса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6.1. Победителей и призеров конкурса определяет жюри Конкурса. Жюри составляет протокол по итогам конкурса.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6.2. Педагоги, занявшие призовые места, награждаются </w:t>
      </w:r>
      <w:r w:rsidR="0028312F">
        <w:rPr>
          <w:rFonts w:ascii="Times New Roman" w:hAnsi="Times New Roman" w:cs="Times New Roman"/>
          <w:sz w:val="28"/>
          <w:szCs w:val="28"/>
          <w:lang w:eastAsia="ru-RU"/>
        </w:rPr>
        <w:t>дипломами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872370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6.3. Лучшие методические разработки </w:t>
      </w:r>
      <w:r w:rsidR="00EF5FE8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публикуются </w:t>
      </w:r>
      <w:r w:rsidR="00EF5FE8" w:rsidRPr="00872370">
        <w:rPr>
          <w:rFonts w:ascii="Times New Roman" w:hAnsi="Times New Roman" w:cs="Times New Roman"/>
          <w:sz w:val="28"/>
          <w:szCs w:val="28"/>
          <w:lang w:eastAsia="ru-RU"/>
        </w:rPr>
        <w:t>в сборник</w:t>
      </w:r>
      <w:r w:rsidR="00872370" w:rsidRPr="00872370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электронном носителе (компакт - диске)</w:t>
      </w:r>
      <w:r w:rsidRPr="008723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12F" w:rsidRPr="0028312F" w:rsidRDefault="0028312F" w:rsidP="0028312F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14231" w:rsidRPr="0028312F" w:rsidRDefault="00E14231" w:rsidP="0028312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312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712D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14231" w:rsidRPr="0028312F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комиссии</w:t>
      </w:r>
    </w:p>
    <w:p w:rsidR="00E14231" w:rsidRPr="0028312F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в конкурсе методических разработок</w:t>
      </w:r>
    </w:p>
    <w:p w:rsidR="00E14231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«Работаем по ФГОС ДО: методы успеха»</w:t>
      </w:r>
    </w:p>
    <w:p w:rsidR="0028312F" w:rsidRPr="0028312F" w:rsidRDefault="0028312F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FB7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4FB7" w:rsidRDefault="00BE4FB7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231" w:rsidRPr="0028312F" w:rsidRDefault="003712DE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Елшина Е.К.- заведующий Отделом образования и делам молодежи администрации Пучежского муниципального района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FB7" w:rsidRDefault="00BE4FB7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2DE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3D1A" w:rsidRDefault="006E064B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Малинина Н.Н.</w:t>
      </w:r>
      <w:r w:rsidR="003712DE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куратор начальной школы </w:t>
      </w:r>
      <w:r w:rsidR="003712DE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МБОУ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лицея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учежа</w:t>
      </w:r>
      <w:r w:rsidR="003712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064B" w:rsidRDefault="003712DE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Белякова Г.А. – методист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6E064B">
        <w:rPr>
          <w:rFonts w:ascii="Times New Roman" w:hAnsi="Times New Roman" w:cs="Times New Roman"/>
          <w:sz w:val="28"/>
          <w:szCs w:val="28"/>
          <w:lang w:eastAsia="ru-RU"/>
        </w:rPr>
        <w:t xml:space="preserve"> по обслуживанию МУ Пучежского муниципального района;</w:t>
      </w:r>
    </w:p>
    <w:p w:rsidR="003712DE" w:rsidRDefault="006E064B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12DE" w:rsidRPr="003712DE">
        <w:rPr>
          <w:rFonts w:ascii="Times New Roman" w:hAnsi="Times New Roman" w:cs="Times New Roman"/>
          <w:sz w:val="28"/>
          <w:szCs w:val="28"/>
          <w:lang w:eastAsia="ru-RU"/>
        </w:rPr>
        <w:t>еднева Г.Н. -</w:t>
      </w:r>
      <w:r w:rsidR="00371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</w:t>
      </w:r>
      <w:r w:rsidR="003712DE">
        <w:rPr>
          <w:rFonts w:ascii="Times New Roman" w:hAnsi="Times New Roman" w:cs="Times New Roman"/>
          <w:sz w:val="28"/>
          <w:szCs w:val="28"/>
          <w:lang w:eastAsia="ru-RU"/>
        </w:rPr>
        <w:t>методист</w:t>
      </w:r>
      <w:r w:rsidR="003712D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712DE" w:rsidRPr="0028312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обслуживанию МУ Пучежского муниципального района</w:t>
      </w:r>
      <w:r w:rsidR="00B54E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12DE" w:rsidRPr="00C00A7F" w:rsidRDefault="00B54EE7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Голованова Л.Н. – методист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обслуживанию МУ Пучежского муниципального района.</w:t>
      </w:r>
    </w:p>
    <w:sectPr w:rsidR="003712DE" w:rsidRPr="00C00A7F" w:rsidSect="000416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52E5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FAC"/>
    <w:multiLevelType w:val="multilevel"/>
    <w:tmpl w:val="96EA2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D7E3E"/>
    <w:multiLevelType w:val="multilevel"/>
    <w:tmpl w:val="B8CAC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2429E"/>
    <w:multiLevelType w:val="multilevel"/>
    <w:tmpl w:val="F8B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561EF"/>
    <w:multiLevelType w:val="multilevel"/>
    <w:tmpl w:val="C52EF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E18D5"/>
    <w:multiLevelType w:val="multilevel"/>
    <w:tmpl w:val="A7C26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61E98"/>
    <w:multiLevelType w:val="multilevel"/>
    <w:tmpl w:val="E926F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C33A9"/>
    <w:multiLevelType w:val="multilevel"/>
    <w:tmpl w:val="19FE8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438F2"/>
    <w:multiLevelType w:val="multilevel"/>
    <w:tmpl w:val="95B4A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113C1"/>
    <w:multiLevelType w:val="multilevel"/>
    <w:tmpl w:val="FD8E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307EA"/>
    <w:multiLevelType w:val="multilevel"/>
    <w:tmpl w:val="DB10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87573"/>
    <w:multiLevelType w:val="multilevel"/>
    <w:tmpl w:val="F9D4C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B2FCD"/>
    <w:multiLevelType w:val="multilevel"/>
    <w:tmpl w:val="01069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40145"/>
    <w:multiLevelType w:val="multilevel"/>
    <w:tmpl w:val="D1DC5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F0ECF"/>
    <w:multiLevelType w:val="hybridMultilevel"/>
    <w:tmpl w:val="75DC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621E3"/>
    <w:multiLevelType w:val="multilevel"/>
    <w:tmpl w:val="6AFCB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A7A90"/>
    <w:multiLevelType w:val="hybridMultilevel"/>
    <w:tmpl w:val="4D58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534EF"/>
    <w:multiLevelType w:val="multilevel"/>
    <w:tmpl w:val="D8E42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650F6"/>
    <w:multiLevelType w:val="multilevel"/>
    <w:tmpl w:val="720C9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56528"/>
    <w:multiLevelType w:val="multilevel"/>
    <w:tmpl w:val="E4EA793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5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17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06"/>
    <w:rsid w:val="00041657"/>
    <w:rsid w:val="0008702D"/>
    <w:rsid w:val="00124A01"/>
    <w:rsid w:val="001B4986"/>
    <w:rsid w:val="001D1EBD"/>
    <w:rsid w:val="001F6A30"/>
    <w:rsid w:val="00235EC1"/>
    <w:rsid w:val="0025048B"/>
    <w:rsid w:val="002724CA"/>
    <w:rsid w:val="0028312F"/>
    <w:rsid w:val="002B786C"/>
    <w:rsid w:val="002C0160"/>
    <w:rsid w:val="0032190D"/>
    <w:rsid w:val="00341E1E"/>
    <w:rsid w:val="003712DE"/>
    <w:rsid w:val="00385243"/>
    <w:rsid w:val="004209A2"/>
    <w:rsid w:val="004254EC"/>
    <w:rsid w:val="004367F0"/>
    <w:rsid w:val="004D2F7C"/>
    <w:rsid w:val="00566F50"/>
    <w:rsid w:val="005C7E8E"/>
    <w:rsid w:val="0061205F"/>
    <w:rsid w:val="006E064B"/>
    <w:rsid w:val="00756445"/>
    <w:rsid w:val="00783721"/>
    <w:rsid w:val="008062BE"/>
    <w:rsid w:val="00850C0C"/>
    <w:rsid w:val="00872370"/>
    <w:rsid w:val="008D7A87"/>
    <w:rsid w:val="00A13D1A"/>
    <w:rsid w:val="00A25294"/>
    <w:rsid w:val="00A57106"/>
    <w:rsid w:val="00A905B3"/>
    <w:rsid w:val="00AB378A"/>
    <w:rsid w:val="00AD272A"/>
    <w:rsid w:val="00AF6B64"/>
    <w:rsid w:val="00B51DBB"/>
    <w:rsid w:val="00B54EE7"/>
    <w:rsid w:val="00BE4FB7"/>
    <w:rsid w:val="00C00A7F"/>
    <w:rsid w:val="00C13802"/>
    <w:rsid w:val="00D544EB"/>
    <w:rsid w:val="00DE40DB"/>
    <w:rsid w:val="00E14231"/>
    <w:rsid w:val="00E82B6A"/>
    <w:rsid w:val="00EF5FE8"/>
    <w:rsid w:val="00F0024C"/>
    <w:rsid w:val="00F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1A"/>
  </w:style>
  <w:style w:type="paragraph" w:styleId="1">
    <w:name w:val="heading 1"/>
    <w:basedOn w:val="a"/>
    <w:link w:val="10"/>
    <w:uiPriority w:val="9"/>
    <w:qFormat/>
    <w:rsid w:val="00E1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106"/>
    <w:rPr>
      <w:b/>
      <w:bCs/>
    </w:rPr>
  </w:style>
  <w:style w:type="character" w:customStyle="1" w:styleId="apple-converted-space">
    <w:name w:val="apple-converted-space"/>
    <w:basedOn w:val="a0"/>
    <w:rsid w:val="00A57106"/>
  </w:style>
  <w:style w:type="character" w:styleId="a5">
    <w:name w:val="Emphasis"/>
    <w:basedOn w:val="a0"/>
    <w:uiPriority w:val="20"/>
    <w:qFormat/>
    <w:rsid w:val="00A57106"/>
    <w:rPr>
      <w:i/>
      <w:iCs/>
    </w:rPr>
  </w:style>
  <w:style w:type="character" w:styleId="a6">
    <w:name w:val="Hyperlink"/>
    <w:basedOn w:val="a0"/>
    <w:uiPriority w:val="99"/>
    <w:semiHidden/>
    <w:unhideWhenUsed/>
    <w:rsid w:val="00A571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date">
    <w:name w:val="post-date"/>
    <w:basedOn w:val="a"/>
    <w:rsid w:val="00E1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2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312F"/>
    <w:pPr>
      <w:spacing w:after="0" w:line="240" w:lineRule="auto"/>
    </w:pPr>
  </w:style>
  <w:style w:type="table" w:styleId="aa">
    <w:name w:val="Table Grid"/>
    <w:basedOn w:val="a1"/>
    <w:uiPriority w:val="59"/>
    <w:rsid w:val="0038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91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11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7F0E-3F59-4965-BEAD-117043D5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2019-09-13T05:28:00Z</cp:lastPrinted>
  <dcterms:created xsi:type="dcterms:W3CDTF">2015-10-08T10:25:00Z</dcterms:created>
  <dcterms:modified xsi:type="dcterms:W3CDTF">2019-09-13T06:58:00Z</dcterms:modified>
</cp:coreProperties>
</file>