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9" w:rsidRPr="002B782A" w:rsidRDefault="00240349" w:rsidP="0024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 xml:space="preserve">ОТДЕЛ ОБРАЗОВАНИЯ И ДЕЛАМ МОЛОДЕЖИ </w:t>
      </w:r>
    </w:p>
    <w:p w:rsidR="00240349" w:rsidRDefault="00240349" w:rsidP="0024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A">
        <w:rPr>
          <w:rFonts w:ascii="Times New Roman" w:hAnsi="Times New Roman" w:cs="Times New Roman"/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240349" w:rsidRDefault="00240349" w:rsidP="0024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6F" w:rsidRPr="00D475ED" w:rsidRDefault="00D475ED" w:rsidP="00D47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E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B0648" w:rsidRPr="00AB0648" w:rsidRDefault="00D475ED" w:rsidP="00AB0648">
      <w:pPr>
        <w:pStyle w:val="Default"/>
        <w:jc w:val="center"/>
        <w:rPr>
          <w:bCs/>
          <w:color w:val="auto"/>
          <w:sz w:val="28"/>
          <w:szCs w:val="28"/>
          <w:lang w:bidi="ru-RU"/>
        </w:rPr>
      </w:pPr>
      <w:r>
        <w:rPr>
          <w:sz w:val="28"/>
          <w:szCs w:val="28"/>
        </w:rPr>
        <w:t>п</w:t>
      </w:r>
      <w:r w:rsidRPr="00D475ED">
        <w:rPr>
          <w:sz w:val="28"/>
          <w:szCs w:val="28"/>
        </w:rPr>
        <w:t>о итогам проведения</w:t>
      </w:r>
      <w:r w:rsidRPr="00D475ED">
        <w:rPr>
          <w:bCs/>
          <w:sz w:val="28"/>
          <w:szCs w:val="28"/>
        </w:rPr>
        <w:t xml:space="preserve"> </w:t>
      </w:r>
      <w:r w:rsidRPr="00D475ED">
        <w:rPr>
          <w:bCs/>
          <w:color w:val="auto"/>
          <w:sz w:val="28"/>
          <w:szCs w:val="28"/>
        </w:rPr>
        <w:t xml:space="preserve">мониторинга </w:t>
      </w:r>
      <w:r w:rsidR="00AB0648" w:rsidRPr="00AB0648">
        <w:rPr>
          <w:bCs/>
          <w:color w:val="auto"/>
          <w:sz w:val="28"/>
          <w:szCs w:val="28"/>
          <w:lang w:bidi="ru-RU"/>
        </w:rPr>
        <w:t xml:space="preserve">достижения </w:t>
      </w:r>
      <w:proofErr w:type="gramStart"/>
      <w:r w:rsidR="00AB0648" w:rsidRPr="00AB0648">
        <w:rPr>
          <w:bCs/>
          <w:color w:val="auto"/>
          <w:sz w:val="28"/>
          <w:szCs w:val="28"/>
          <w:lang w:bidi="ru-RU"/>
        </w:rPr>
        <w:t>обучающимися</w:t>
      </w:r>
      <w:proofErr w:type="gramEnd"/>
      <w:r w:rsidR="00AB0648" w:rsidRPr="00AB0648">
        <w:rPr>
          <w:bCs/>
          <w:color w:val="auto"/>
          <w:sz w:val="28"/>
          <w:szCs w:val="28"/>
          <w:lang w:bidi="ru-RU"/>
        </w:rPr>
        <w:t xml:space="preserve"> планируемых</w:t>
      </w:r>
      <w:r w:rsidR="00AB0648">
        <w:rPr>
          <w:bCs/>
          <w:color w:val="auto"/>
          <w:sz w:val="28"/>
          <w:szCs w:val="28"/>
          <w:lang w:bidi="ru-RU"/>
        </w:rPr>
        <w:t xml:space="preserve"> </w:t>
      </w:r>
      <w:r w:rsidR="00AB0648" w:rsidRPr="00AB0648">
        <w:rPr>
          <w:bCs/>
          <w:sz w:val="28"/>
          <w:szCs w:val="28"/>
          <w:lang w:bidi="ru-RU"/>
        </w:rPr>
        <w:t>предметных результатов освоения основной образовательной</w:t>
      </w:r>
    </w:p>
    <w:p w:rsidR="00744351" w:rsidRDefault="00AB0648" w:rsidP="00744351">
      <w:pPr>
        <w:pStyle w:val="Default"/>
        <w:jc w:val="center"/>
        <w:rPr>
          <w:bCs/>
          <w:sz w:val="28"/>
          <w:szCs w:val="28"/>
          <w:lang w:bidi="ru-RU"/>
        </w:rPr>
      </w:pPr>
      <w:r w:rsidRPr="00AB0648">
        <w:rPr>
          <w:bCs/>
          <w:sz w:val="28"/>
          <w:szCs w:val="28"/>
          <w:lang w:bidi="ru-RU"/>
        </w:rPr>
        <w:t>программы начального общего образования по математике</w:t>
      </w:r>
      <w:r>
        <w:rPr>
          <w:bCs/>
          <w:sz w:val="28"/>
          <w:szCs w:val="28"/>
          <w:lang w:bidi="ru-RU"/>
        </w:rPr>
        <w:t xml:space="preserve"> </w:t>
      </w:r>
      <w:r w:rsidR="00744351">
        <w:rPr>
          <w:bCs/>
          <w:sz w:val="28"/>
          <w:szCs w:val="28"/>
          <w:lang w:bidi="ru-RU"/>
        </w:rPr>
        <w:t xml:space="preserve"> в 3 классе </w:t>
      </w:r>
    </w:p>
    <w:p w:rsidR="00D475ED" w:rsidRPr="00744351" w:rsidRDefault="00AB0648" w:rsidP="00744351">
      <w:pPr>
        <w:pStyle w:val="Default"/>
        <w:jc w:val="center"/>
        <w:rPr>
          <w:bCs/>
          <w:sz w:val="28"/>
          <w:szCs w:val="28"/>
          <w:lang w:bidi="ru-RU"/>
        </w:rPr>
      </w:pPr>
      <w:r w:rsidRPr="00AB0648">
        <w:rPr>
          <w:bCs/>
          <w:sz w:val="28"/>
          <w:szCs w:val="28"/>
          <w:lang w:bidi="ru-RU"/>
        </w:rPr>
        <w:t>в 2020-2021 учебном году</w:t>
      </w:r>
    </w:p>
    <w:p w:rsidR="00240349" w:rsidRPr="002B782A" w:rsidRDefault="00240349" w:rsidP="00240349">
      <w:pPr>
        <w:pStyle w:val="Default"/>
        <w:jc w:val="center"/>
        <w:rPr>
          <w:bCs/>
          <w:sz w:val="28"/>
          <w:szCs w:val="28"/>
        </w:rPr>
      </w:pPr>
      <w:r w:rsidRPr="002B782A">
        <w:rPr>
          <w:bCs/>
          <w:sz w:val="28"/>
          <w:szCs w:val="28"/>
        </w:rPr>
        <w:t>г. Пучеж                                                                                   от 23.0</w:t>
      </w:r>
      <w:r w:rsidR="003B61B9">
        <w:rPr>
          <w:bCs/>
          <w:sz w:val="28"/>
          <w:szCs w:val="28"/>
        </w:rPr>
        <w:t>5</w:t>
      </w:r>
      <w:r w:rsidRPr="002B782A">
        <w:rPr>
          <w:bCs/>
          <w:sz w:val="28"/>
          <w:szCs w:val="28"/>
        </w:rPr>
        <w:t>.2021</w:t>
      </w:r>
    </w:p>
    <w:p w:rsidR="00D475ED" w:rsidRPr="00D475ED" w:rsidRDefault="00D475ED" w:rsidP="00D475ED">
      <w:pPr>
        <w:pStyle w:val="Default"/>
        <w:rPr>
          <w:b/>
          <w:sz w:val="28"/>
          <w:szCs w:val="28"/>
        </w:rPr>
      </w:pPr>
    </w:p>
    <w:p w:rsidR="00D475ED" w:rsidRDefault="006841D3" w:rsidP="00343D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>В соответствии с приказами Департамента образования Ивановской области от 31.12.2019 № 1724-о «Об утверждении документов по оценке качества подготовки обучающихся общеобразовательных организаций Ивановской области», от 17.03.2020 № 356-о/а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области», от 27.01.2021 № 61-о «Об утверждении плана</w:t>
      </w:r>
      <w:proofErr w:type="gramEnd"/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>проведения мероприятий по оценке качества образования, региональных процедур оценки образовательных результатов на 2021 год», от 18.02.2021 № 157-о «О внесении изменений в приказ Департамента образования Ивановской области от 27.01.2021 №61-о «Об утверждении плана проведения мероприятий по оценке качества образования, региональных процедур оценки образовательных результатов на 2021 год»,  от 19.04.2021 № 460-о «О проведении мониторинга достижения обучающимися планируемых предметных результатов освоения основной образовательной</w:t>
      </w:r>
      <w:proofErr w:type="gramEnd"/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программы начального общего образования по математике в 2020-2021 учебном году»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в соответствии </w:t>
      </w:r>
      <w:proofErr w:type="gramStart"/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proofErr w:type="gramEnd"/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>приказам</w:t>
      </w:r>
      <w:proofErr w:type="gramEnd"/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Отдела образования и делам молодежи администрации Пучежского муниципального  района № 71 от 20.04.2021 г. «</w:t>
      </w:r>
      <w:r w:rsidR="00343D5B" w:rsidRP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проведении мониторинга достижения обучающимися </w:t>
      </w:r>
      <w:proofErr w:type="gramStart"/>
      <w:r w:rsidR="00343D5B" w:rsidRPr="00343D5B">
        <w:rPr>
          <w:rFonts w:ascii="Times New Roman" w:hAnsi="Times New Roman" w:cs="Times New Roman"/>
          <w:bCs/>
          <w:sz w:val="28"/>
          <w:szCs w:val="28"/>
          <w:lang w:bidi="ru-RU"/>
        </w:rPr>
        <w:t>планируемых предметных результатов освоения основной образовательной программы начального общего образования по математике в 2020-2021 учебном году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>и в целях повышения качества образовательных результатов освоения основной образовательной программы начального общего</w:t>
      </w:r>
      <w:r w:rsidR="00343D5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образования</w:t>
      </w:r>
      <w:r w:rsidRPr="006841D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="00AB0648">
        <w:rPr>
          <w:rFonts w:ascii="Times New Roman" w:hAnsi="Times New Roman" w:cs="Times New Roman"/>
          <w:bCs/>
          <w:sz w:val="28"/>
          <w:szCs w:val="28"/>
        </w:rPr>
        <w:t>3 классов 2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AB0648">
        <w:rPr>
          <w:rFonts w:ascii="Times New Roman" w:hAnsi="Times New Roman" w:cs="Times New Roman"/>
          <w:bCs/>
          <w:sz w:val="28"/>
          <w:szCs w:val="28"/>
        </w:rPr>
        <w:t>апреля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2021 года был проведен </w:t>
      </w:r>
      <w:r w:rsidR="00D475ED" w:rsidRPr="00D475E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AB0648" w:rsidRPr="00AB0648">
        <w:rPr>
          <w:rFonts w:ascii="Times New Roman" w:hAnsi="Times New Roman" w:cs="Times New Roman"/>
          <w:bCs/>
          <w:sz w:val="28"/>
          <w:szCs w:val="28"/>
        </w:rPr>
        <w:t>достижения обучающимися планируемых предметных результатов освоения основной образовательной программы начального общего образования по математике</w:t>
      </w:r>
      <w:r w:rsidR="00AB0648" w:rsidRPr="00AB06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для обучающихся 3 классов</w:t>
      </w:r>
      <w:r w:rsidR="00D475E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37B6B" w:rsidRPr="00E37B6B" w:rsidRDefault="00E37B6B" w:rsidP="00E37B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B6B">
        <w:rPr>
          <w:rFonts w:ascii="Times New Roman" w:hAnsi="Times New Roman" w:cs="Times New Roman"/>
          <w:bCs/>
          <w:sz w:val="28"/>
          <w:szCs w:val="28"/>
        </w:rPr>
        <w:t>Работа содержала две группы заданий:</w:t>
      </w:r>
    </w:p>
    <w:p w:rsidR="00E37B6B" w:rsidRPr="00E37B6B" w:rsidRDefault="00E37B6B" w:rsidP="00E37B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B6B">
        <w:rPr>
          <w:rFonts w:ascii="Times New Roman" w:hAnsi="Times New Roman" w:cs="Times New Roman"/>
          <w:bCs/>
          <w:sz w:val="28"/>
          <w:szCs w:val="28"/>
        </w:rPr>
        <w:lastRenderedPageBreak/>
        <w:t>1. - задания базового уровня сложности, в которых проверя</w:t>
      </w:r>
      <w:r>
        <w:rPr>
          <w:rFonts w:ascii="Times New Roman" w:hAnsi="Times New Roman" w:cs="Times New Roman"/>
          <w:bCs/>
          <w:sz w:val="28"/>
          <w:szCs w:val="28"/>
        </w:rPr>
        <w:t>лось</w:t>
      </w:r>
      <w:r w:rsidRPr="00E37B6B">
        <w:rPr>
          <w:rFonts w:ascii="Times New Roman" w:hAnsi="Times New Roman" w:cs="Times New Roman"/>
          <w:bCs/>
          <w:sz w:val="28"/>
          <w:szCs w:val="28"/>
        </w:rPr>
        <w:t xml:space="preserve"> освоение базовых знаний и умений по предмету, обеспечивающих успешное продолжение обучения в 4 классе. </w:t>
      </w:r>
      <w:proofErr w:type="gramStart"/>
      <w:r w:rsidRPr="00E37B6B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E37B6B">
        <w:rPr>
          <w:rFonts w:ascii="Times New Roman" w:hAnsi="Times New Roman" w:cs="Times New Roman"/>
          <w:bCs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bCs/>
          <w:sz w:val="28"/>
          <w:szCs w:val="28"/>
        </w:rPr>
        <w:t>лись</w:t>
      </w:r>
      <w:r w:rsidRPr="00E37B6B">
        <w:rPr>
          <w:rFonts w:ascii="Times New Roman" w:hAnsi="Times New Roman" w:cs="Times New Roman"/>
          <w:bCs/>
          <w:sz w:val="28"/>
          <w:szCs w:val="28"/>
        </w:rPr>
        <w:t xml:space="preserve"> стандартные учебные или практические задачи, в которых очевиден способ решения, изученный в процессе обучения.</w:t>
      </w:r>
    </w:p>
    <w:p w:rsidR="00E37B6B" w:rsidRPr="00E37B6B" w:rsidRDefault="00E37B6B" w:rsidP="00E37B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B6B">
        <w:rPr>
          <w:rFonts w:ascii="Times New Roman" w:hAnsi="Times New Roman" w:cs="Times New Roman"/>
          <w:bCs/>
          <w:sz w:val="28"/>
          <w:szCs w:val="28"/>
        </w:rPr>
        <w:t>2. - задания высокого уровня сложности. В данных заданиях проверя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E37B6B">
        <w:rPr>
          <w:rFonts w:ascii="Times New Roman" w:hAnsi="Times New Roman" w:cs="Times New Roman"/>
          <w:bCs/>
          <w:sz w:val="28"/>
          <w:szCs w:val="28"/>
        </w:rPr>
        <w:t xml:space="preserve"> готовность обучающихся решать нестандартные учебные задачи, в которых нет явного указания на способ выполнения, а учащийся сам должен сконструировать способ решения.</w:t>
      </w:r>
    </w:p>
    <w:p w:rsidR="00E37B6B" w:rsidRDefault="00E37B6B" w:rsidP="00E37B6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>При оценке выполненных заданий применя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</w:t>
      </w:r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ся </w:t>
      </w:r>
      <w:proofErr w:type="spellStart"/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>критериальный</w:t>
      </w:r>
      <w:proofErr w:type="spellEnd"/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подход. Каждое задание направлено на достижени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планируемых предметных результатов освоения основной образовательной программы начального общего образования, итоговая оценка определя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лась</w:t>
      </w:r>
      <w:r w:rsidRPr="00E37B6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сумме баллов, набранных за каждое задание.</w:t>
      </w:r>
    </w:p>
    <w:p w:rsidR="00343D5B" w:rsidRPr="00343D5B" w:rsidRDefault="00343D5B" w:rsidP="00343D5B">
      <w:pPr>
        <w:ind w:firstLine="708"/>
        <w:jc w:val="both"/>
        <w:rPr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В мониторинге приняли участие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8EF">
        <w:rPr>
          <w:rFonts w:ascii="Times New Roman" w:hAnsi="Times New Roman" w:cs="Times New Roman"/>
          <w:bCs/>
          <w:sz w:val="28"/>
          <w:szCs w:val="28"/>
        </w:rPr>
        <w:t>86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</w:t>
      </w:r>
      <w:r w:rsidR="003A576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ся всех общеобразовательных учреждений район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а, что составляет </w:t>
      </w:r>
      <w:r w:rsidR="00EC68EF">
        <w:rPr>
          <w:rFonts w:ascii="Times New Roman" w:hAnsi="Times New Roman" w:cs="Times New Roman"/>
          <w:bCs/>
          <w:sz w:val="28"/>
          <w:szCs w:val="28"/>
        </w:rPr>
        <w:t>95,6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 % от их общего количества (90 чел). В школах были назначены школь</w:t>
      </w:r>
      <w:r>
        <w:rPr>
          <w:rFonts w:ascii="Times New Roman" w:hAnsi="Times New Roman" w:cs="Times New Roman"/>
          <w:bCs/>
          <w:sz w:val="28"/>
          <w:szCs w:val="28"/>
        </w:rPr>
        <w:t>ные координаторы, ответственные за проведение мониторинга, организаторы и эксперты по проверке заданий. Во всех учреждениях были приняты ме</w:t>
      </w:r>
      <w:r w:rsidR="003A576F">
        <w:rPr>
          <w:rFonts w:ascii="Times New Roman" w:hAnsi="Times New Roman" w:cs="Times New Roman"/>
          <w:bCs/>
          <w:sz w:val="28"/>
          <w:szCs w:val="28"/>
        </w:rPr>
        <w:t>ры по обеспечению объективности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A576F">
        <w:rPr>
          <w:rFonts w:ascii="Times New Roman" w:hAnsi="Times New Roman" w:cs="Times New Roman"/>
          <w:bCs/>
          <w:sz w:val="28"/>
          <w:szCs w:val="28"/>
        </w:rPr>
        <w:t xml:space="preserve"> этапе проведения диагностической работы и при проверке результатов. Во всех образовательных учреждениях проведен анализ и интерпретация образовательных результатов обучающихся.</w:t>
      </w:r>
      <w:r w:rsidR="00CB4B67">
        <w:rPr>
          <w:rFonts w:ascii="Times New Roman" w:hAnsi="Times New Roman" w:cs="Times New Roman"/>
          <w:bCs/>
          <w:sz w:val="28"/>
          <w:szCs w:val="28"/>
        </w:rPr>
        <w:t xml:space="preserve"> Так же во всех классах общеобразовательных учреждений при проведении мониторинга присутствовали общественные наблюдатели. Нарушений со стороны общественных наблюдателей во время проведения процедуры не выявлено.</w:t>
      </w:r>
    </w:p>
    <w:p w:rsidR="003A576F" w:rsidRDefault="003A576F" w:rsidP="00D475E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количественных результатов выполнения мониторинга по математик</w:t>
      </w:r>
      <w:r w:rsidR="00AF6D76">
        <w:rPr>
          <w:rFonts w:ascii="Times New Roman" w:hAnsi="Times New Roman" w:cs="Times New Roman"/>
          <w:bCs/>
          <w:sz w:val="28"/>
          <w:szCs w:val="28"/>
        </w:rPr>
        <w:t>е позволил установить следующее:</w:t>
      </w:r>
    </w:p>
    <w:p w:rsidR="006B0C59" w:rsidRDefault="00AF1B44" w:rsidP="00AF6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% выполнения заданий базового уровня составил - </w:t>
      </w:r>
      <w:r w:rsidR="00C16819" w:rsidRPr="00C16819">
        <w:rPr>
          <w:rFonts w:ascii="Times New Roman" w:hAnsi="Times New Roman" w:cs="Times New Roman"/>
          <w:b/>
          <w:bCs/>
          <w:sz w:val="28"/>
          <w:szCs w:val="28"/>
        </w:rPr>
        <w:t>79,868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AF6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% выполнения заданий высокого уровня - </w:t>
      </w:r>
      <w:r w:rsidR="00C16819" w:rsidRPr="00C16819">
        <w:rPr>
          <w:rFonts w:ascii="Times New Roman" w:hAnsi="Times New Roman" w:cs="Times New Roman"/>
          <w:b/>
          <w:bCs/>
          <w:sz w:val="28"/>
          <w:szCs w:val="28"/>
        </w:rPr>
        <w:t>39,248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Средняя отметка по району составила - </w:t>
      </w:r>
      <w:r w:rsidR="00C16819" w:rsidRPr="00C16819">
        <w:rPr>
          <w:rFonts w:ascii="Times New Roman" w:hAnsi="Times New Roman" w:cs="Times New Roman"/>
          <w:b/>
          <w:bCs/>
          <w:sz w:val="28"/>
          <w:szCs w:val="28"/>
        </w:rPr>
        <w:t>3,662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средний  балл – </w:t>
      </w:r>
      <w:r w:rsidR="00C16819" w:rsidRPr="00C16819">
        <w:rPr>
          <w:rFonts w:ascii="Times New Roman" w:hAnsi="Times New Roman" w:cs="Times New Roman"/>
          <w:b/>
          <w:bCs/>
          <w:sz w:val="28"/>
          <w:szCs w:val="28"/>
        </w:rPr>
        <w:t>11,129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Количество обучающихся, которые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показали высокий уровень достижения планируемых предметных результатов по математике составило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1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19">
        <w:rPr>
          <w:rFonts w:ascii="Times New Roman" w:hAnsi="Times New Roman" w:cs="Times New Roman"/>
          <w:bCs/>
          <w:sz w:val="28"/>
          <w:szCs w:val="28"/>
        </w:rPr>
        <w:t>6 обучающихся (6,7%)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базовый уровень </w:t>
      </w:r>
      <w:r w:rsidR="00C1681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19">
        <w:rPr>
          <w:rFonts w:ascii="Times New Roman" w:hAnsi="Times New Roman" w:cs="Times New Roman"/>
          <w:bCs/>
          <w:sz w:val="28"/>
          <w:szCs w:val="28"/>
        </w:rPr>
        <w:t>62 обучающихся (68,9%)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уровень ниже базового </w:t>
      </w:r>
      <w:r w:rsidR="00C1681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819">
        <w:rPr>
          <w:rFonts w:ascii="Times New Roman" w:hAnsi="Times New Roman" w:cs="Times New Roman"/>
          <w:bCs/>
          <w:sz w:val="28"/>
          <w:szCs w:val="28"/>
        </w:rPr>
        <w:t>18 обучающихся (20%)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6D76" w:rsidRPr="006A62DF" w:rsidRDefault="00AF6D76" w:rsidP="00AF6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328" w:type="dxa"/>
        <w:tblInd w:w="-318" w:type="dxa"/>
        <w:tblLayout w:type="fixed"/>
        <w:tblLook w:val="04A0"/>
      </w:tblPr>
      <w:tblGrid>
        <w:gridCol w:w="993"/>
        <w:gridCol w:w="1276"/>
        <w:gridCol w:w="1276"/>
        <w:gridCol w:w="992"/>
        <w:gridCol w:w="851"/>
        <w:gridCol w:w="850"/>
        <w:gridCol w:w="1418"/>
        <w:gridCol w:w="1275"/>
        <w:gridCol w:w="1397"/>
      </w:tblGrid>
      <w:tr w:rsidR="006A62DF" w:rsidRPr="00AF6D76" w:rsidTr="00AF6D76">
        <w:tc>
          <w:tcPr>
            <w:tcW w:w="993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выполняв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ших работу</w:t>
            </w:r>
          </w:p>
        </w:tc>
        <w:tc>
          <w:tcPr>
            <w:tcW w:w="1276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% выполнения заданий базового 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уровня</w:t>
            </w:r>
          </w:p>
        </w:tc>
        <w:tc>
          <w:tcPr>
            <w:tcW w:w="992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% выполнения заданий  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высокого уровня</w:t>
            </w:r>
          </w:p>
        </w:tc>
        <w:tc>
          <w:tcPr>
            <w:tcW w:w="851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Средний балл</w:t>
            </w:r>
          </w:p>
        </w:tc>
        <w:tc>
          <w:tcPr>
            <w:tcW w:w="850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Средняя отметка </w:t>
            </w:r>
          </w:p>
        </w:tc>
        <w:tc>
          <w:tcPr>
            <w:tcW w:w="1418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 уровень</w:t>
            </w:r>
          </w:p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достижения 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планируемых предметных результатов</w:t>
            </w:r>
          </w:p>
        </w:tc>
        <w:tc>
          <w:tcPr>
            <w:tcW w:w="1275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Базовый уровень достижения 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планируемых предметных результатов</w:t>
            </w:r>
          </w:p>
        </w:tc>
        <w:tc>
          <w:tcPr>
            <w:tcW w:w="1397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Высокий уровень достижения планируемы</w:t>
            </w: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 предметных результатов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C37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 району </w:t>
            </w:r>
          </w:p>
        </w:tc>
        <w:tc>
          <w:tcPr>
            <w:tcW w:w="1276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79,868</w:t>
            </w:r>
          </w:p>
        </w:tc>
        <w:tc>
          <w:tcPr>
            <w:tcW w:w="992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39,248</w:t>
            </w:r>
          </w:p>
        </w:tc>
        <w:tc>
          <w:tcPr>
            <w:tcW w:w="851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11,129</w:t>
            </w:r>
          </w:p>
        </w:tc>
        <w:tc>
          <w:tcPr>
            <w:tcW w:w="850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1418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97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3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«Лицей </w:t>
            </w:r>
            <w:proofErr w:type="gram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Пучеж</w:t>
            </w:r>
          </w:p>
        </w:tc>
        <w:tc>
          <w:tcPr>
            <w:tcW w:w="1276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6A62DF" w:rsidRPr="00AF6D76" w:rsidRDefault="00BB7EA7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850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418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7" w:type="dxa"/>
            <w:vAlign w:val="center"/>
          </w:tcPr>
          <w:p w:rsidR="006A62DF" w:rsidRPr="00AF6D76" w:rsidRDefault="00E37B6B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3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Пучежская</w:t>
            </w:r>
            <w:proofErr w:type="spell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гимназия</w:t>
            </w:r>
          </w:p>
        </w:tc>
        <w:tc>
          <w:tcPr>
            <w:tcW w:w="1276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35,67</w:t>
            </w:r>
          </w:p>
        </w:tc>
        <w:tc>
          <w:tcPr>
            <w:tcW w:w="851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850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8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3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Сеготская</w:t>
            </w:r>
            <w:proofErr w:type="spell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276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10,125</w:t>
            </w:r>
          </w:p>
        </w:tc>
        <w:tc>
          <w:tcPr>
            <w:tcW w:w="850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vAlign w:val="center"/>
          </w:tcPr>
          <w:p w:rsidR="006A62DF" w:rsidRPr="00AF6D76" w:rsidRDefault="006A62DF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3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Затеихинская</w:t>
            </w:r>
            <w:proofErr w:type="spell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276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2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8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vAlign w:val="center"/>
          </w:tcPr>
          <w:p w:rsidR="006A62DF" w:rsidRPr="00AF6D76" w:rsidRDefault="00AE1A05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A62DF" w:rsidRPr="00AF6D76" w:rsidTr="00AF6D76">
        <w:tc>
          <w:tcPr>
            <w:tcW w:w="993" w:type="dxa"/>
          </w:tcPr>
          <w:p w:rsidR="006A62DF" w:rsidRPr="00AF6D76" w:rsidRDefault="006A62DF" w:rsidP="003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«</w:t>
            </w:r>
            <w:proofErr w:type="spellStart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Илья-Высоковская</w:t>
            </w:r>
            <w:proofErr w:type="spellEnd"/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276" w:type="dxa"/>
            <w:vAlign w:val="center"/>
          </w:tcPr>
          <w:p w:rsidR="006A62DF" w:rsidRPr="00AF6D76" w:rsidRDefault="00803634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92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53,57</w:t>
            </w:r>
          </w:p>
        </w:tc>
        <w:tc>
          <w:tcPr>
            <w:tcW w:w="851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850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dxa"/>
            <w:vAlign w:val="center"/>
          </w:tcPr>
          <w:p w:rsidR="006A62DF" w:rsidRPr="00AF6D76" w:rsidRDefault="000D5390" w:rsidP="006A62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BB7EA7" w:rsidRDefault="00BB7EA7" w:rsidP="00BB7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885" w:rsidRPr="00F91885" w:rsidRDefault="00F91885" w:rsidP="00BB7E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приведенной выше таблицы видн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большинство обучающихся 3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6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6819" w:rsidRPr="00C168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6819" w:rsidRPr="00C168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в целом справились с предложенной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работой, и показали 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сформированности предметных и </w:t>
      </w:r>
      <w:proofErr w:type="spellStart"/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5635" w:rsidRDefault="00EC68EF" w:rsidP="00EC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20 % обучающихся показали низкий уровень 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и </w:t>
      </w:r>
      <w:proofErr w:type="spellStart"/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9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математике. </w:t>
      </w:r>
    </w:p>
    <w:p w:rsidR="002421A4" w:rsidRDefault="00365635" w:rsidP="0036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65635" w:rsidRPr="003A576F" w:rsidRDefault="00CC2523" w:rsidP="003A576F">
      <w:pPr>
        <w:pStyle w:val="a3"/>
        <w:numPr>
          <w:ilvl w:val="0"/>
          <w:numId w:val="2"/>
        </w:numPr>
        <w:spacing w:after="0" w:line="240" w:lineRule="auto"/>
        <w:ind w:left="426" w:hanging="720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Руководителям общеобразовательных учреждений</w:t>
      </w:r>
      <w:r w:rsidR="003A576F" w:rsidRPr="003A57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C378E0" w:rsidRDefault="00850A3F" w:rsidP="00CC2523">
      <w:pPr>
        <w:pStyle w:val="a3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Пучеж»,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гимназия, вошедших в «зону риска»</w:t>
      </w:r>
      <w:r w:rsidR="00017DA7">
        <w:rPr>
          <w:rFonts w:ascii="Times New Roman" w:hAnsi="Times New Roman" w:cs="Times New Roman"/>
          <w:sz w:val="28"/>
          <w:szCs w:val="28"/>
        </w:rPr>
        <w:t xml:space="preserve"> по результатам диагностической работы  </w:t>
      </w:r>
      <w:r w:rsidR="00AF2B25">
        <w:rPr>
          <w:rFonts w:ascii="Times New Roman" w:hAnsi="Times New Roman" w:cs="Times New Roman"/>
          <w:sz w:val="28"/>
          <w:szCs w:val="28"/>
        </w:rPr>
        <w:t>принять меры по повышению уровня результатов обучения</w:t>
      </w:r>
      <w:r w:rsidR="009A1407">
        <w:rPr>
          <w:rFonts w:ascii="Times New Roman" w:hAnsi="Times New Roman" w:cs="Times New Roman"/>
          <w:sz w:val="28"/>
          <w:szCs w:val="28"/>
        </w:rPr>
        <w:t>;</w:t>
      </w:r>
    </w:p>
    <w:p w:rsidR="009A1407" w:rsidRDefault="009A1407" w:rsidP="00CC2523">
      <w:pPr>
        <w:pStyle w:val="a3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детей;</w:t>
      </w:r>
    </w:p>
    <w:p w:rsidR="009A1407" w:rsidRPr="00850A3F" w:rsidRDefault="009A1407" w:rsidP="00CC2523">
      <w:pPr>
        <w:pStyle w:val="a3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Скорректировать план методической работы и план повышения квалификации </w:t>
      </w:r>
      <w:r w:rsidR="00127B50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C378E0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и делам молодежи</w:t>
      </w:r>
    </w:p>
    <w:p w:rsidR="00576613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Пучежского </w:t>
      </w:r>
    </w:p>
    <w:p w:rsidR="00C378E0" w:rsidRPr="00365635" w:rsidRDefault="00C378E0" w:rsidP="0036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7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7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76613">
        <w:rPr>
          <w:rFonts w:ascii="Times New Roman" w:hAnsi="Times New Roman" w:cs="Times New Roman"/>
          <w:sz w:val="28"/>
          <w:szCs w:val="28"/>
        </w:rPr>
        <w:t>Г.Н.Седнева</w:t>
      </w:r>
      <w:proofErr w:type="spellEnd"/>
    </w:p>
    <w:sectPr w:rsidR="00C378E0" w:rsidRPr="00365635" w:rsidSect="006B0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39" w:rsidRDefault="00BB1E39" w:rsidP="00BB7EA7">
      <w:pPr>
        <w:spacing w:after="0" w:line="240" w:lineRule="auto"/>
      </w:pPr>
      <w:r>
        <w:separator/>
      </w:r>
    </w:p>
  </w:endnote>
  <w:endnote w:type="continuationSeparator" w:id="0">
    <w:p w:rsidR="00BB1E39" w:rsidRDefault="00BB1E39" w:rsidP="00BB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39" w:rsidRDefault="00BB1E39" w:rsidP="00BB7EA7">
      <w:pPr>
        <w:spacing w:after="0" w:line="240" w:lineRule="auto"/>
      </w:pPr>
      <w:r>
        <w:separator/>
      </w:r>
    </w:p>
  </w:footnote>
  <w:footnote w:type="continuationSeparator" w:id="0">
    <w:p w:rsidR="00BB1E39" w:rsidRDefault="00BB1E39" w:rsidP="00BB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41A"/>
    <w:multiLevelType w:val="hybridMultilevel"/>
    <w:tmpl w:val="AE58F1DE"/>
    <w:lvl w:ilvl="0" w:tplc="54D4D5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4E6948"/>
    <w:multiLevelType w:val="hybridMultilevel"/>
    <w:tmpl w:val="9B8A84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9C30B9"/>
    <w:multiLevelType w:val="hybridMultilevel"/>
    <w:tmpl w:val="BB14A3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5AE57FF"/>
    <w:multiLevelType w:val="hybridMultilevel"/>
    <w:tmpl w:val="FF4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7C7A"/>
    <w:multiLevelType w:val="hybridMultilevel"/>
    <w:tmpl w:val="64DE01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630491"/>
    <w:multiLevelType w:val="multilevel"/>
    <w:tmpl w:val="E5ACA4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ED"/>
    <w:rsid w:val="00017DA7"/>
    <w:rsid w:val="000C1E58"/>
    <w:rsid w:val="000D5390"/>
    <w:rsid w:val="00127B50"/>
    <w:rsid w:val="001E7943"/>
    <w:rsid w:val="00240349"/>
    <w:rsid w:val="002421A4"/>
    <w:rsid w:val="00343D5B"/>
    <w:rsid w:val="00365635"/>
    <w:rsid w:val="00375809"/>
    <w:rsid w:val="003A576F"/>
    <w:rsid w:val="003B61B9"/>
    <w:rsid w:val="004D5CD5"/>
    <w:rsid w:val="004E430F"/>
    <w:rsid w:val="005133D3"/>
    <w:rsid w:val="005150B7"/>
    <w:rsid w:val="00576613"/>
    <w:rsid w:val="00645F73"/>
    <w:rsid w:val="006841D3"/>
    <w:rsid w:val="006A1940"/>
    <w:rsid w:val="006A62DF"/>
    <w:rsid w:val="006B0C59"/>
    <w:rsid w:val="006E4BFD"/>
    <w:rsid w:val="006E7BC5"/>
    <w:rsid w:val="00744351"/>
    <w:rsid w:val="00803634"/>
    <w:rsid w:val="00850A3F"/>
    <w:rsid w:val="008B4E65"/>
    <w:rsid w:val="008F7DE9"/>
    <w:rsid w:val="009026A6"/>
    <w:rsid w:val="009A1407"/>
    <w:rsid w:val="009B75FB"/>
    <w:rsid w:val="00AB0648"/>
    <w:rsid w:val="00AE1A05"/>
    <w:rsid w:val="00AE51A8"/>
    <w:rsid w:val="00AF1B44"/>
    <w:rsid w:val="00AF2B25"/>
    <w:rsid w:val="00AF6D76"/>
    <w:rsid w:val="00B32FEE"/>
    <w:rsid w:val="00BB1E39"/>
    <w:rsid w:val="00BB7EA7"/>
    <w:rsid w:val="00C16819"/>
    <w:rsid w:val="00C378E0"/>
    <w:rsid w:val="00C43820"/>
    <w:rsid w:val="00C90DDA"/>
    <w:rsid w:val="00CB2C5B"/>
    <w:rsid w:val="00CB4B67"/>
    <w:rsid w:val="00CC2523"/>
    <w:rsid w:val="00D45A95"/>
    <w:rsid w:val="00D475ED"/>
    <w:rsid w:val="00D8506F"/>
    <w:rsid w:val="00D975D8"/>
    <w:rsid w:val="00DE0290"/>
    <w:rsid w:val="00DE7713"/>
    <w:rsid w:val="00E37B6B"/>
    <w:rsid w:val="00E56F6B"/>
    <w:rsid w:val="00EC68EF"/>
    <w:rsid w:val="00EE4277"/>
    <w:rsid w:val="00EF5362"/>
    <w:rsid w:val="00F65226"/>
    <w:rsid w:val="00F82335"/>
    <w:rsid w:val="00F91885"/>
    <w:rsid w:val="00F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5635"/>
    <w:pPr>
      <w:ind w:left="720"/>
      <w:contextualSpacing/>
    </w:pPr>
  </w:style>
  <w:style w:type="table" w:styleId="a4">
    <w:name w:val="Table Grid"/>
    <w:basedOn w:val="a1"/>
    <w:uiPriority w:val="59"/>
    <w:rsid w:val="00AF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EA7"/>
  </w:style>
  <w:style w:type="paragraph" w:styleId="a7">
    <w:name w:val="footer"/>
    <w:basedOn w:val="a"/>
    <w:link w:val="a8"/>
    <w:uiPriority w:val="99"/>
    <w:semiHidden/>
    <w:unhideWhenUsed/>
    <w:rsid w:val="00BB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2021-06-23T12:17:00Z</cp:lastPrinted>
  <dcterms:created xsi:type="dcterms:W3CDTF">2021-04-22T13:41:00Z</dcterms:created>
  <dcterms:modified xsi:type="dcterms:W3CDTF">2021-07-09T06:22:00Z</dcterms:modified>
</cp:coreProperties>
</file>